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EAC4" w14:textId="77777777" w:rsidR="004D5621" w:rsidRDefault="004D5621" w:rsidP="004D5621">
      <w:pPr>
        <w:spacing w:line="276" w:lineRule="auto"/>
        <w:rPr>
          <w:rFonts w:cs="Arial"/>
        </w:rPr>
      </w:pPr>
    </w:p>
    <w:p w14:paraId="392D5B94" w14:textId="4E729D86" w:rsidR="00C00F86" w:rsidRDefault="00C00F86" w:rsidP="00C00F86">
      <w:pPr>
        <w:spacing w:line="276" w:lineRule="auto"/>
      </w:pPr>
    </w:p>
    <w:p w14:paraId="1E11EB9C" w14:textId="77777777" w:rsidR="00C00F86" w:rsidRDefault="00C00F86" w:rsidP="00C00F86">
      <w:pPr>
        <w:spacing w:line="276" w:lineRule="auto"/>
      </w:pPr>
    </w:p>
    <w:tbl>
      <w:tblPr>
        <w:tblpPr w:leftFromText="180" w:rightFromText="180" w:vertAnchor="page" w:horzAnchor="margin" w:tblpXSpec="center" w:tblpY="2653"/>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8020"/>
      </w:tblGrid>
      <w:tr w:rsidR="00A87C84" w14:paraId="127973E0" w14:textId="77777777" w:rsidTr="00A87C84">
        <w:tc>
          <w:tcPr>
            <w:tcW w:w="2068" w:type="dxa"/>
          </w:tcPr>
          <w:p w14:paraId="6AEC029D" w14:textId="77777777" w:rsidR="00A87C84" w:rsidRDefault="00A87C84" w:rsidP="00A87C84">
            <w:pPr>
              <w:pStyle w:val="Heading4"/>
              <w:spacing w:line="276" w:lineRule="auto"/>
            </w:pPr>
            <w:r>
              <w:t>Job title:</w:t>
            </w:r>
          </w:p>
        </w:tc>
        <w:tc>
          <w:tcPr>
            <w:tcW w:w="8020" w:type="dxa"/>
          </w:tcPr>
          <w:p w14:paraId="7B2D3146" w14:textId="09207F65" w:rsidR="00A87C84" w:rsidRDefault="001B0EAA" w:rsidP="00A87C84">
            <w:pPr>
              <w:spacing w:line="276" w:lineRule="auto"/>
            </w:pPr>
            <w:r>
              <w:t>Charity Shop</w:t>
            </w:r>
            <w:r w:rsidR="00A87C84">
              <w:t xml:space="preserve"> Assistant</w:t>
            </w:r>
            <w:r w:rsidR="00CA0D9F">
              <w:t xml:space="preserve"> </w:t>
            </w:r>
            <w:r w:rsidR="00191DF3">
              <w:t>–</w:t>
            </w:r>
            <w:r w:rsidR="00CA0D9F">
              <w:t xml:space="preserve"> </w:t>
            </w:r>
            <w:proofErr w:type="spellStart"/>
            <w:r w:rsidR="00191DF3">
              <w:t>W</w:t>
            </w:r>
            <w:r w:rsidR="00BF2DF9">
              <w:t>yl</w:t>
            </w:r>
            <w:r w:rsidR="00191DF3">
              <w:t>de</w:t>
            </w:r>
            <w:proofErr w:type="spellEnd"/>
            <w:r w:rsidR="00191DF3">
              <w:t xml:space="preserve"> Green</w:t>
            </w:r>
          </w:p>
          <w:p w14:paraId="0FC84E88" w14:textId="77777777" w:rsidR="00A87C84" w:rsidRDefault="00A87C84" w:rsidP="00A87C84">
            <w:pPr>
              <w:spacing w:line="276" w:lineRule="auto"/>
            </w:pPr>
          </w:p>
        </w:tc>
      </w:tr>
      <w:tr w:rsidR="00A87C84" w14:paraId="281A737D" w14:textId="77777777" w:rsidTr="00A87C84">
        <w:tc>
          <w:tcPr>
            <w:tcW w:w="2068" w:type="dxa"/>
          </w:tcPr>
          <w:p w14:paraId="585F2241" w14:textId="77777777" w:rsidR="00A87C84" w:rsidRDefault="00A87C84" w:rsidP="00A87C84">
            <w:pPr>
              <w:spacing w:line="276" w:lineRule="auto"/>
              <w:rPr>
                <w:b/>
              </w:rPr>
            </w:pPr>
            <w:r>
              <w:rPr>
                <w:b/>
              </w:rPr>
              <w:t>Salary:</w:t>
            </w:r>
          </w:p>
        </w:tc>
        <w:tc>
          <w:tcPr>
            <w:tcW w:w="8020" w:type="dxa"/>
          </w:tcPr>
          <w:p w14:paraId="54B1F533" w14:textId="77777777" w:rsidR="00A87C84" w:rsidRDefault="00A87C84" w:rsidP="00A87C84">
            <w:pPr>
              <w:spacing w:line="276" w:lineRule="auto"/>
            </w:pPr>
            <w:r>
              <w:t>Living wage – currently £9.50</w:t>
            </w:r>
          </w:p>
          <w:p w14:paraId="4A187A59" w14:textId="77777777" w:rsidR="00A87C84" w:rsidRPr="00C96129" w:rsidRDefault="00A87C84" w:rsidP="00A87C84">
            <w:pPr>
              <w:spacing w:line="276" w:lineRule="auto"/>
            </w:pPr>
          </w:p>
        </w:tc>
      </w:tr>
      <w:tr w:rsidR="00A87C84" w14:paraId="70B3644B" w14:textId="77777777" w:rsidTr="00A87C84">
        <w:tc>
          <w:tcPr>
            <w:tcW w:w="2068" w:type="dxa"/>
          </w:tcPr>
          <w:p w14:paraId="19CD3D02" w14:textId="77777777" w:rsidR="00A87C84" w:rsidRDefault="00A87C84" w:rsidP="00A87C84">
            <w:pPr>
              <w:spacing w:line="276" w:lineRule="auto"/>
              <w:rPr>
                <w:b/>
              </w:rPr>
            </w:pPr>
            <w:r>
              <w:rPr>
                <w:b/>
              </w:rPr>
              <w:t>Hours:</w:t>
            </w:r>
          </w:p>
          <w:p w14:paraId="71AA2AD9" w14:textId="77777777" w:rsidR="00A87C84" w:rsidRDefault="00A87C84" w:rsidP="00A87C84">
            <w:pPr>
              <w:spacing w:line="276" w:lineRule="auto"/>
              <w:rPr>
                <w:b/>
              </w:rPr>
            </w:pPr>
          </w:p>
        </w:tc>
        <w:tc>
          <w:tcPr>
            <w:tcW w:w="8020" w:type="dxa"/>
          </w:tcPr>
          <w:p w14:paraId="283ABEB8" w14:textId="77777777" w:rsidR="00A87C84" w:rsidRPr="00FD338A" w:rsidRDefault="00A87C84" w:rsidP="00A87C84">
            <w:pPr>
              <w:spacing w:line="276" w:lineRule="auto"/>
              <w:rPr>
                <w:rFonts w:cs="Arial"/>
                <w:szCs w:val="22"/>
              </w:rPr>
            </w:pPr>
            <w:r>
              <w:rPr>
                <w:rFonts w:cs="Arial"/>
                <w:szCs w:val="22"/>
              </w:rPr>
              <w:t>25 hours – flexible Monday-Friday</w:t>
            </w:r>
          </w:p>
        </w:tc>
      </w:tr>
      <w:tr w:rsidR="00A87C84" w14:paraId="178E1777" w14:textId="77777777" w:rsidTr="00A87C84">
        <w:tc>
          <w:tcPr>
            <w:tcW w:w="2068" w:type="dxa"/>
          </w:tcPr>
          <w:p w14:paraId="2D1B8E14" w14:textId="77777777" w:rsidR="00A87C84" w:rsidRDefault="00A87C84" w:rsidP="00A87C84">
            <w:pPr>
              <w:spacing w:line="276" w:lineRule="auto"/>
              <w:rPr>
                <w:b/>
              </w:rPr>
            </w:pPr>
            <w:r>
              <w:rPr>
                <w:b/>
              </w:rPr>
              <w:t>Pension:</w:t>
            </w:r>
          </w:p>
          <w:p w14:paraId="1526606C" w14:textId="77777777" w:rsidR="00A87C84" w:rsidRDefault="00A87C84" w:rsidP="00A87C84">
            <w:pPr>
              <w:spacing w:line="276" w:lineRule="auto"/>
              <w:rPr>
                <w:b/>
              </w:rPr>
            </w:pPr>
          </w:p>
        </w:tc>
        <w:tc>
          <w:tcPr>
            <w:tcW w:w="8020" w:type="dxa"/>
          </w:tcPr>
          <w:p w14:paraId="7C4DC9D3" w14:textId="77777777" w:rsidR="00A87C84" w:rsidRDefault="00A87C84" w:rsidP="00A87C84">
            <w:pPr>
              <w:spacing w:line="276" w:lineRule="auto"/>
              <w:rPr>
                <w:rFonts w:cs="Arial"/>
                <w:szCs w:val="22"/>
              </w:rPr>
            </w:pPr>
            <w:r w:rsidRPr="001C28CB">
              <w:rPr>
                <w:rFonts w:cs="Arial"/>
                <w:szCs w:val="22"/>
              </w:rPr>
              <w:t>Group Personal Pension with employer’s contribution</w:t>
            </w:r>
          </w:p>
          <w:p w14:paraId="4F44A581" w14:textId="77777777" w:rsidR="00A87C84" w:rsidRPr="0088535F" w:rsidRDefault="00A87C84" w:rsidP="00A87C84">
            <w:pPr>
              <w:spacing w:line="276" w:lineRule="auto"/>
              <w:rPr>
                <w:rFonts w:cs="Arial"/>
                <w:szCs w:val="22"/>
              </w:rPr>
            </w:pPr>
          </w:p>
        </w:tc>
      </w:tr>
      <w:tr w:rsidR="00A87C84" w14:paraId="2F9EBF03" w14:textId="77777777" w:rsidTr="00A87C84">
        <w:tc>
          <w:tcPr>
            <w:tcW w:w="2068" w:type="dxa"/>
          </w:tcPr>
          <w:p w14:paraId="4126DC4A" w14:textId="77777777" w:rsidR="00A87C84" w:rsidRPr="00D32952" w:rsidRDefault="00A87C84" w:rsidP="00A87C84">
            <w:pPr>
              <w:spacing w:line="276" w:lineRule="auto"/>
              <w:rPr>
                <w:b/>
              </w:rPr>
            </w:pPr>
            <w:r w:rsidRPr="00D32952">
              <w:rPr>
                <w:b/>
              </w:rPr>
              <w:t>Annual leave:</w:t>
            </w:r>
          </w:p>
          <w:p w14:paraId="0ADDD53C" w14:textId="77777777" w:rsidR="00A87C84" w:rsidRPr="00D32952" w:rsidRDefault="00A87C84" w:rsidP="00A87C84">
            <w:pPr>
              <w:spacing w:line="276" w:lineRule="auto"/>
              <w:rPr>
                <w:b/>
              </w:rPr>
            </w:pPr>
          </w:p>
        </w:tc>
        <w:tc>
          <w:tcPr>
            <w:tcW w:w="8020" w:type="dxa"/>
          </w:tcPr>
          <w:p w14:paraId="7B4A03CF" w14:textId="77777777" w:rsidR="00A87C84" w:rsidRDefault="00A87C84" w:rsidP="00A87C84">
            <w:pPr>
              <w:spacing w:line="276" w:lineRule="auto"/>
              <w:rPr>
                <w:rFonts w:cs="Arial"/>
                <w:szCs w:val="22"/>
              </w:rPr>
            </w:pPr>
            <w:r>
              <w:rPr>
                <w:rFonts w:cs="Arial"/>
                <w:szCs w:val="22"/>
              </w:rPr>
              <w:t>25</w:t>
            </w:r>
            <w:r w:rsidRPr="0088535F">
              <w:rPr>
                <w:rFonts w:cs="Arial"/>
                <w:szCs w:val="22"/>
              </w:rPr>
              <w:t xml:space="preserve"> days per annum</w:t>
            </w:r>
            <w:r>
              <w:rPr>
                <w:rFonts w:cs="Arial"/>
                <w:szCs w:val="22"/>
              </w:rPr>
              <w:t xml:space="preserve"> (pro rata) </w:t>
            </w:r>
          </w:p>
          <w:p w14:paraId="6181120F" w14:textId="77777777" w:rsidR="00A87C84" w:rsidRPr="0088535F" w:rsidRDefault="00A87C84" w:rsidP="00A87C84">
            <w:pPr>
              <w:spacing w:line="276" w:lineRule="auto"/>
              <w:rPr>
                <w:rFonts w:cs="Arial"/>
                <w:szCs w:val="22"/>
              </w:rPr>
            </w:pPr>
          </w:p>
        </w:tc>
      </w:tr>
      <w:tr w:rsidR="00A87C84" w14:paraId="67448A95" w14:textId="77777777" w:rsidTr="00A87C84">
        <w:tc>
          <w:tcPr>
            <w:tcW w:w="2068" w:type="dxa"/>
          </w:tcPr>
          <w:p w14:paraId="7812AFB3" w14:textId="77777777" w:rsidR="00A87C84" w:rsidRPr="00D32952" w:rsidRDefault="00A87C84" w:rsidP="00A87C84">
            <w:pPr>
              <w:spacing w:line="276" w:lineRule="auto"/>
              <w:rPr>
                <w:b/>
              </w:rPr>
            </w:pPr>
            <w:r>
              <w:rPr>
                <w:b/>
              </w:rPr>
              <w:t>Tenure:</w:t>
            </w:r>
          </w:p>
        </w:tc>
        <w:tc>
          <w:tcPr>
            <w:tcW w:w="8020" w:type="dxa"/>
          </w:tcPr>
          <w:p w14:paraId="7FEB6F84" w14:textId="77777777" w:rsidR="00A87C84" w:rsidRDefault="00A87C84" w:rsidP="00A87C84">
            <w:pPr>
              <w:spacing w:line="276" w:lineRule="auto"/>
              <w:rPr>
                <w:rFonts w:cs="Arial"/>
                <w:szCs w:val="22"/>
              </w:rPr>
            </w:pPr>
            <w:r>
              <w:rPr>
                <w:rFonts w:cs="Arial"/>
                <w:szCs w:val="22"/>
              </w:rPr>
              <w:t xml:space="preserve">Initial 6 months placement </w:t>
            </w:r>
          </w:p>
          <w:p w14:paraId="06222726" w14:textId="77777777" w:rsidR="00A87C84" w:rsidRDefault="00A87C84" w:rsidP="00A87C84">
            <w:pPr>
              <w:spacing w:line="276" w:lineRule="auto"/>
              <w:rPr>
                <w:rFonts w:cs="Arial"/>
                <w:szCs w:val="22"/>
              </w:rPr>
            </w:pPr>
          </w:p>
        </w:tc>
      </w:tr>
      <w:tr w:rsidR="00A87C84" w14:paraId="7A9B216F" w14:textId="77777777" w:rsidTr="00A87C84">
        <w:tc>
          <w:tcPr>
            <w:tcW w:w="2068" w:type="dxa"/>
          </w:tcPr>
          <w:p w14:paraId="4B8575A8" w14:textId="77777777" w:rsidR="00A87C84" w:rsidRDefault="00A87C84" w:rsidP="00A87C84">
            <w:pPr>
              <w:spacing w:line="276" w:lineRule="auto"/>
              <w:rPr>
                <w:b/>
              </w:rPr>
            </w:pPr>
            <w:r>
              <w:rPr>
                <w:b/>
              </w:rPr>
              <w:t>Based at:</w:t>
            </w:r>
          </w:p>
        </w:tc>
        <w:tc>
          <w:tcPr>
            <w:tcW w:w="8020" w:type="dxa"/>
          </w:tcPr>
          <w:p w14:paraId="49902EEC" w14:textId="77777777" w:rsidR="007B6E09" w:rsidRDefault="007B6E09" w:rsidP="00A87C84">
            <w:pPr>
              <w:spacing w:line="276" w:lineRule="auto"/>
              <w:rPr>
                <w:rFonts w:cs="Arial"/>
                <w:color w:val="000000"/>
                <w:szCs w:val="22"/>
              </w:rPr>
            </w:pPr>
            <w:r>
              <w:t xml:space="preserve">Birmingham Settlement Shop, </w:t>
            </w:r>
            <w:r w:rsidR="00AC4363" w:rsidRPr="009E647C">
              <w:t>23 The Lanes, Birmingham B72 1YG</w:t>
            </w:r>
            <w:r w:rsidR="00AC4363" w:rsidRPr="00FD338A">
              <w:rPr>
                <w:rFonts w:cs="Arial"/>
                <w:color w:val="000000"/>
                <w:szCs w:val="22"/>
              </w:rPr>
              <w:t xml:space="preserve"> </w:t>
            </w:r>
          </w:p>
          <w:p w14:paraId="3BEC7D99" w14:textId="2FBEE627" w:rsidR="00AC4363" w:rsidRPr="00FD338A" w:rsidRDefault="00AC4363" w:rsidP="00A87C84">
            <w:pPr>
              <w:spacing w:line="276" w:lineRule="auto"/>
              <w:rPr>
                <w:rFonts w:cs="Arial"/>
                <w:color w:val="000000"/>
                <w:szCs w:val="22"/>
              </w:rPr>
            </w:pPr>
          </w:p>
        </w:tc>
      </w:tr>
      <w:tr w:rsidR="00A87C84" w14:paraId="51A15117" w14:textId="77777777" w:rsidTr="00A87C84">
        <w:tc>
          <w:tcPr>
            <w:tcW w:w="2068" w:type="dxa"/>
          </w:tcPr>
          <w:p w14:paraId="2C5E8AC6" w14:textId="77777777" w:rsidR="00A87C84" w:rsidRDefault="00A87C84" w:rsidP="00A87C84">
            <w:pPr>
              <w:spacing w:line="276" w:lineRule="auto"/>
              <w:rPr>
                <w:b/>
              </w:rPr>
            </w:pPr>
            <w:r>
              <w:rPr>
                <w:b/>
              </w:rPr>
              <w:t>Role Purpose:</w:t>
            </w:r>
          </w:p>
        </w:tc>
        <w:tc>
          <w:tcPr>
            <w:tcW w:w="8020" w:type="dxa"/>
          </w:tcPr>
          <w:p w14:paraId="3BCF8834" w14:textId="04F0DC8B" w:rsidR="00CA0D9F" w:rsidRPr="00CA0D9F" w:rsidRDefault="00CA0D9F" w:rsidP="00CA0D9F">
            <w:pPr>
              <w:rPr>
                <w:rFonts w:cs="Arial"/>
                <w:szCs w:val="22"/>
              </w:rPr>
            </w:pPr>
            <w:r w:rsidRPr="00CA0D9F">
              <w:rPr>
                <w:rFonts w:cs="Arial"/>
                <w:szCs w:val="22"/>
              </w:rPr>
              <w:t xml:space="preserve">Birmingham Settlement has been delivering services to the communities where we work since 1899. We are a </w:t>
            </w:r>
            <w:r w:rsidR="00BF7320" w:rsidRPr="00CA0D9F">
              <w:rPr>
                <w:rFonts w:cs="Arial"/>
                <w:szCs w:val="22"/>
              </w:rPr>
              <w:t>well-established</w:t>
            </w:r>
            <w:r w:rsidRPr="00CA0D9F">
              <w:rPr>
                <w:rFonts w:cs="Arial"/>
                <w:szCs w:val="22"/>
              </w:rPr>
              <w:t xml:space="preserve">, busy charity in the process of developing new sites and services. We deliver a wide range of activities to support our communities from ‘Stay &amp; Play’, ‘Youth’, and ‘Older People’ services; to ‘Health &amp; Wellbeing’, ‘Employment &amp; Training’, and softer social activities. </w:t>
            </w:r>
          </w:p>
          <w:p w14:paraId="23A90158" w14:textId="77777777" w:rsidR="00CA0D9F" w:rsidRPr="00CA0D9F" w:rsidRDefault="00CA0D9F" w:rsidP="00CA0D9F">
            <w:pPr>
              <w:rPr>
                <w:rFonts w:cs="Arial"/>
                <w:szCs w:val="22"/>
              </w:rPr>
            </w:pPr>
          </w:p>
          <w:p w14:paraId="25A54744" w14:textId="77777777" w:rsidR="00CA0D9F" w:rsidRPr="00CA0D9F" w:rsidRDefault="00CA0D9F" w:rsidP="00CA0D9F">
            <w:pPr>
              <w:rPr>
                <w:rFonts w:cs="Arial"/>
                <w:szCs w:val="22"/>
              </w:rPr>
            </w:pPr>
            <w:r w:rsidRPr="00CA0D9F">
              <w:rPr>
                <w:rFonts w:cs="Arial"/>
                <w:szCs w:val="22"/>
              </w:rPr>
              <w:t>Our three charity shops are an important part of our service offer, not only generating income for the charity, but also providing opportunities for volunteering and work experience as well as reducing isolation and keeping people active. This role will provide support to the shops – sorting donations, preparing for display, pricing, dealing with sales, queries and similar retail work. Attitude and willingness to learn are the key elements in making the role work, training will be provided.</w:t>
            </w:r>
          </w:p>
          <w:p w14:paraId="50ABBB51" w14:textId="77777777" w:rsidR="00CA0D9F" w:rsidRPr="00CA0D9F" w:rsidRDefault="00CA0D9F" w:rsidP="00CA0D9F">
            <w:pPr>
              <w:rPr>
                <w:rFonts w:cs="Arial"/>
                <w:szCs w:val="22"/>
              </w:rPr>
            </w:pPr>
          </w:p>
          <w:p w14:paraId="673DF46E" w14:textId="77777777" w:rsidR="00CA0D9F" w:rsidRPr="00CA0D9F" w:rsidRDefault="00CA0D9F" w:rsidP="00CA0D9F">
            <w:pPr>
              <w:rPr>
                <w:rFonts w:cs="Arial"/>
                <w:szCs w:val="22"/>
              </w:rPr>
            </w:pPr>
            <w:r w:rsidRPr="00CA0D9F">
              <w:rPr>
                <w:rFonts w:cs="Arial"/>
                <w:szCs w:val="22"/>
              </w:rPr>
              <w:t>Aside from experience of working for the third sector, the successful applicants will gain experience of working in a retail environment including stock generation and stock control, sales, promotion and marketing, and of course admin.</w:t>
            </w:r>
          </w:p>
          <w:p w14:paraId="4ED71047" w14:textId="77777777" w:rsidR="00CA0D9F" w:rsidRPr="00CA0D9F" w:rsidRDefault="00CA0D9F" w:rsidP="00CA0D9F">
            <w:pPr>
              <w:rPr>
                <w:rFonts w:cs="Arial"/>
                <w:szCs w:val="22"/>
              </w:rPr>
            </w:pPr>
          </w:p>
          <w:p w14:paraId="2B985859" w14:textId="33DCEA75" w:rsidR="00CA0D9F" w:rsidRPr="00CA0D9F" w:rsidRDefault="00CA0D9F" w:rsidP="00CA0D9F">
            <w:pPr>
              <w:rPr>
                <w:rFonts w:cs="Arial"/>
                <w:szCs w:val="22"/>
              </w:rPr>
            </w:pPr>
            <w:r w:rsidRPr="00CA0D9F">
              <w:rPr>
                <w:rFonts w:cs="Arial"/>
                <w:szCs w:val="22"/>
              </w:rPr>
              <w:t xml:space="preserve">Further information about the Settlement and the work we do can be found at </w:t>
            </w:r>
            <w:hyperlink r:id="rId9" w:history="1">
              <w:r w:rsidRPr="00995A86">
                <w:rPr>
                  <w:rStyle w:val="Hyperlink"/>
                  <w:rFonts w:cs="Arial"/>
                  <w:szCs w:val="22"/>
                </w:rPr>
                <w:t>www.birminghamsettlement.org.uk</w:t>
              </w:r>
            </w:hyperlink>
            <w:r>
              <w:rPr>
                <w:rFonts w:cs="Arial"/>
                <w:szCs w:val="22"/>
              </w:rPr>
              <w:t xml:space="preserve">. </w:t>
            </w:r>
          </w:p>
          <w:p w14:paraId="3B29E775" w14:textId="77777777" w:rsidR="00A87C84" w:rsidRPr="00CA0D9F" w:rsidRDefault="00A87C84" w:rsidP="00A87C84">
            <w:pPr>
              <w:rPr>
                <w:szCs w:val="22"/>
              </w:rPr>
            </w:pPr>
          </w:p>
        </w:tc>
      </w:tr>
      <w:tr w:rsidR="00A87C84" w14:paraId="0D8CEC25" w14:textId="77777777" w:rsidTr="00A87C84">
        <w:tc>
          <w:tcPr>
            <w:tcW w:w="2068" w:type="dxa"/>
          </w:tcPr>
          <w:p w14:paraId="34B0B42D" w14:textId="77777777" w:rsidR="00A87C84" w:rsidRDefault="00A87C84" w:rsidP="00A87C84">
            <w:pPr>
              <w:spacing w:line="276" w:lineRule="auto"/>
              <w:rPr>
                <w:b/>
              </w:rPr>
            </w:pPr>
            <w:r>
              <w:rPr>
                <w:b/>
              </w:rPr>
              <w:t xml:space="preserve">Essential skills, experience and qualifications </w:t>
            </w:r>
          </w:p>
        </w:tc>
        <w:tc>
          <w:tcPr>
            <w:tcW w:w="8020" w:type="dxa"/>
          </w:tcPr>
          <w:p w14:paraId="43740C2F" w14:textId="77777777" w:rsidR="00357D3C" w:rsidRDefault="00F02707" w:rsidP="00A87C84">
            <w:pPr>
              <w:rPr>
                <w:rFonts w:cs="Arial"/>
                <w:noProof/>
              </w:rPr>
            </w:pPr>
            <w:r>
              <w:rPr>
                <w:rFonts w:cs="Arial"/>
              </w:rPr>
              <w:t>Training in all aspects of the role will be provided, the only essential requirement is r</w:t>
            </w:r>
            <w:r w:rsidRPr="009E4EE6">
              <w:rPr>
                <w:rFonts w:cs="Arial"/>
                <w:noProof/>
              </w:rPr>
              <w:t>eliab</w:t>
            </w:r>
            <w:r>
              <w:rPr>
                <w:rFonts w:cs="Arial"/>
                <w:noProof/>
              </w:rPr>
              <w:t>ility</w:t>
            </w:r>
            <w:r w:rsidRPr="009E4EE6">
              <w:rPr>
                <w:rFonts w:cs="Arial"/>
                <w:noProof/>
              </w:rPr>
              <w:t xml:space="preserve"> </w:t>
            </w:r>
            <w:r>
              <w:rPr>
                <w:rFonts w:cs="Arial"/>
                <w:noProof/>
              </w:rPr>
              <w:t xml:space="preserve">along with </w:t>
            </w:r>
            <w:r w:rsidRPr="009E4EE6">
              <w:rPr>
                <w:rFonts w:cs="Arial"/>
                <w:noProof/>
              </w:rPr>
              <w:t>a flexible attitude towards duties and working patterns</w:t>
            </w:r>
            <w:r>
              <w:rPr>
                <w:rFonts w:cs="Arial"/>
                <w:noProof/>
              </w:rPr>
              <w:t xml:space="preserve">. In addition, while </w:t>
            </w:r>
            <w:r w:rsidRPr="009E4EE6">
              <w:rPr>
                <w:rFonts w:cs="Arial"/>
                <w:noProof/>
              </w:rPr>
              <w:t>IT litera</w:t>
            </w:r>
            <w:r>
              <w:rPr>
                <w:rFonts w:cs="Arial"/>
                <w:noProof/>
              </w:rPr>
              <w:t>cy</w:t>
            </w:r>
            <w:r w:rsidRPr="009E4EE6">
              <w:rPr>
                <w:rFonts w:cs="Arial"/>
                <w:noProof/>
              </w:rPr>
              <w:t xml:space="preserve"> with a reasonable working knowledge of Microsoft Office or similar</w:t>
            </w:r>
            <w:r>
              <w:rPr>
                <w:rFonts w:cs="Arial"/>
                <w:noProof/>
              </w:rPr>
              <w:t xml:space="preserve"> is useful, the ability </w:t>
            </w:r>
            <w:r w:rsidRPr="009E4EE6">
              <w:rPr>
                <w:rFonts w:cs="Arial"/>
                <w:noProof/>
              </w:rPr>
              <w:t>to work sensitively with people from a range backgrounds</w:t>
            </w:r>
            <w:r>
              <w:rPr>
                <w:rFonts w:cs="Arial"/>
                <w:noProof/>
              </w:rPr>
              <w:t xml:space="preserve"> is also key.</w:t>
            </w:r>
          </w:p>
          <w:p w14:paraId="77302874" w14:textId="4C17ADD1" w:rsidR="00F02707" w:rsidRPr="00ED3950" w:rsidRDefault="00F02707" w:rsidP="00A87C84">
            <w:pPr>
              <w:rPr>
                <w:rFonts w:cs="Arial"/>
                <w:szCs w:val="22"/>
              </w:rPr>
            </w:pPr>
          </w:p>
        </w:tc>
      </w:tr>
    </w:tbl>
    <w:p w14:paraId="7B7CD8B7" w14:textId="073E9635" w:rsidR="00997D75" w:rsidRDefault="00997D75"/>
    <w:sectPr w:rsidR="00997D7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A1BC5" w14:textId="77777777" w:rsidR="0021412A" w:rsidRDefault="0021412A" w:rsidP="0021412A">
      <w:r>
        <w:separator/>
      </w:r>
    </w:p>
  </w:endnote>
  <w:endnote w:type="continuationSeparator" w:id="0">
    <w:p w14:paraId="55D0C9B7" w14:textId="77777777" w:rsidR="0021412A" w:rsidRDefault="0021412A" w:rsidP="0021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650ED" w14:textId="77777777" w:rsidR="0021412A" w:rsidRDefault="0021412A" w:rsidP="0021412A">
      <w:r>
        <w:separator/>
      </w:r>
    </w:p>
  </w:footnote>
  <w:footnote w:type="continuationSeparator" w:id="0">
    <w:p w14:paraId="5F51D709" w14:textId="77777777" w:rsidR="0021412A" w:rsidRDefault="0021412A" w:rsidP="0021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EC013" w14:textId="1833A51F" w:rsidR="008521C0" w:rsidRDefault="00645D0D" w:rsidP="00D77A9C">
    <w:pPr>
      <w:pStyle w:val="Header"/>
      <w:tabs>
        <w:tab w:val="clear" w:pos="4513"/>
        <w:tab w:val="clear" w:pos="9026"/>
        <w:tab w:val="left" w:pos="3396"/>
      </w:tabs>
    </w:pPr>
    <w:r>
      <w:rPr>
        <w:noProof/>
      </w:rPr>
      <w:drawing>
        <wp:anchor distT="0" distB="0" distL="114300" distR="114300" simplePos="0" relativeHeight="251660288" behindDoc="0" locked="0" layoutInCell="1" allowOverlap="1" wp14:anchorId="20A65220" wp14:editId="6E8CEA6E">
          <wp:simplePos x="0" y="0"/>
          <wp:positionH relativeFrom="margin">
            <wp:posOffset>4442460</wp:posOffset>
          </wp:positionH>
          <wp:positionV relativeFrom="paragraph">
            <wp:posOffset>-160020</wp:posOffset>
          </wp:positionV>
          <wp:extent cx="1866900" cy="982980"/>
          <wp:effectExtent l="0" t="0" r="0" b="7620"/>
          <wp:wrapSquare wrapText="bothSides"/>
          <wp:docPr id="6" name="Picture 6"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66900" cy="982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14040D6" wp14:editId="50914748">
          <wp:simplePos x="0" y="0"/>
          <wp:positionH relativeFrom="margin">
            <wp:align>center</wp:align>
          </wp:positionH>
          <wp:positionV relativeFrom="paragraph">
            <wp:posOffset>-213360</wp:posOffset>
          </wp:positionV>
          <wp:extent cx="1821180" cy="1213485"/>
          <wp:effectExtent l="0" t="0" r="7620" b="571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1180" cy="1213485"/>
                  </a:xfrm>
                  <a:prstGeom prst="rect">
                    <a:avLst/>
                  </a:prstGeom>
                </pic:spPr>
              </pic:pic>
            </a:graphicData>
          </a:graphic>
          <wp14:sizeRelH relativeFrom="margin">
            <wp14:pctWidth>0</wp14:pctWidth>
          </wp14:sizeRelH>
          <wp14:sizeRelV relativeFrom="margin">
            <wp14:pctHeight>0</wp14:pctHeight>
          </wp14:sizeRelV>
        </wp:anchor>
      </w:drawing>
    </w:r>
    <w:r w:rsidR="00C00F86">
      <w:rPr>
        <w:noProof/>
      </w:rPr>
      <w:drawing>
        <wp:anchor distT="0" distB="0" distL="114300" distR="114300" simplePos="0" relativeHeight="251658240" behindDoc="0" locked="0" layoutInCell="1" allowOverlap="1" wp14:anchorId="5E12C960" wp14:editId="48696E53">
          <wp:simplePos x="0" y="0"/>
          <wp:positionH relativeFrom="column">
            <wp:posOffset>-365760</wp:posOffset>
          </wp:positionH>
          <wp:positionV relativeFrom="paragraph">
            <wp:posOffset>-83820</wp:posOffset>
          </wp:positionV>
          <wp:extent cx="1043940" cy="869063"/>
          <wp:effectExtent l="0" t="0" r="3810" b="7620"/>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43940" cy="869063"/>
                  </a:xfrm>
                  <a:prstGeom prst="rect">
                    <a:avLst/>
                  </a:prstGeom>
                </pic:spPr>
              </pic:pic>
            </a:graphicData>
          </a:graphic>
        </wp:anchor>
      </w:drawing>
    </w:r>
    <w:r w:rsidR="00D77A9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35"/>
    <w:rsid w:val="00164D8E"/>
    <w:rsid w:val="00181EBA"/>
    <w:rsid w:val="00191DF3"/>
    <w:rsid w:val="00195743"/>
    <w:rsid w:val="001B0EAA"/>
    <w:rsid w:val="0021412A"/>
    <w:rsid w:val="002D5C75"/>
    <w:rsid w:val="003561AD"/>
    <w:rsid w:val="00357D3C"/>
    <w:rsid w:val="004404D0"/>
    <w:rsid w:val="004D5621"/>
    <w:rsid w:val="005A5CBC"/>
    <w:rsid w:val="00645D0D"/>
    <w:rsid w:val="006B4F16"/>
    <w:rsid w:val="006C616E"/>
    <w:rsid w:val="00716D3B"/>
    <w:rsid w:val="007755BD"/>
    <w:rsid w:val="007A30D8"/>
    <w:rsid w:val="007B6E09"/>
    <w:rsid w:val="008521C0"/>
    <w:rsid w:val="00914235"/>
    <w:rsid w:val="00997D75"/>
    <w:rsid w:val="009A21DC"/>
    <w:rsid w:val="009A333D"/>
    <w:rsid w:val="00A87C84"/>
    <w:rsid w:val="00A913CE"/>
    <w:rsid w:val="00AC4363"/>
    <w:rsid w:val="00AD2ACE"/>
    <w:rsid w:val="00B53AA1"/>
    <w:rsid w:val="00BD02D9"/>
    <w:rsid w:val="00BF2DF9"/>
    <w:rsid w:val="00BF7320"/>
    <w:rsid w:val="00C00F86"/>
    <w:rsid w:val="00C25F1D"/>
    <w:rsid w:val="00C907CD"/>
    <w:rsid w:val="00CA0D9F"/>
    <w:rsid w:val="00D544E5"/>
    <w:rsid w:val="00D77A9C"/>
    <w:rsid w:val="00D8629C"/>
    <w:rsid w:val="00DD444B"/>
    <w:rsid w:val="00ED3950"/>
    <w:rsid w:val="00F02707"/>
    <w:rsid w:val="00F35F6E"/>
    <w:rsid w:val="00F53E84"/>
    <w:rsid w:val="00FB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14B35A"/>
  <w15:chartTrackingRefBased/>
  <w15:docId w15:val="{7A92FFBE-9CDE-4C25-9CDB-733A3C10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21"/>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4D562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2A"/>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1412A"/>
  </w:style>
  <w:style w:type="paragraph" w:styleId="Footer">
    <w:name w:val="footer"/>
    <w:basedOn w:val="Normal"/>
    <w:link w:val="FooterChar"/>
    <w:uiPriority w:val="99"/>
    <w:unhideWhenUsed/>
    <w:rsid w:val="0021412A"/>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1412A"/>
  </w:style>
  <w:style w:type="character" w:customStyle="1" w:styleId="Heading4Char">
    <w:name w:val="Heading 4 Char"/>
    <w:basedOn w:val="DefaultParagraphFont"/>
    <w:link w:val="Heading4"/>
    <w:rsid w:val="004D5621"/>
    <w:rPr>
      <w:rFonts w:ascii="Arial" w:eastAsia="Times New Roman" w:hAnsi="Arial" w:cs="Times New Roman"/>
      <w:b/>
      <w:bCs/>
      <w:szCs w:val="20"/>
    </w:rPr>
  </w:style>
  <w:style w:type="character" w:styleId="Hyperlink">
    <w:name w:val="Hyperlink"/>
    <w:basedOn w:val="DefaultParagraphFont"/>
    <w:uiPriority w:val="99"/>
    <w:unhideWhenUsed/>
    <w:rsid w:val="00ED3950"/>
    <w:rPr>
      <w:color w:val="0563C1" w:themeColor="hyperlink"/>
      <w:u w:val="single"/>
    </w:rPr>
  </w:style>
  <w:style w:type="character" w:styleId="UnresolvedMention">
    <w:name w:val="Unresolved Mention"/>
    <w:basedOn w:val="DefaultParagraphFont"/>
    <w:uiPriority w:val="99"/>
    <w:semiHidden/>
    <w:unhideWhenUsed/>
    <w:rsid w:val="00ED3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733160">
      <w:bodyDiv w:val="1"/>
      <w:marLeft w:val="0"/>
      <w:marRight w:val="0"/>
      <w:marTop w:val="0"/>
      <w:marBottom w:val="0"/>
      <w:divBdr>
        <w:top w:val="none" w:sz="0" w:space="0" w:color="auto"/>
        <w:left w:val="none" w:sz="0" w:space="0" w:color="auto"/>
        <w:bottom w:val="none" w:sz="0" w:space="0" w:color="auto"/>
        <w:right w:val="none" w:sz="0" w:space="0" w:color="auto"/>
      </w:divBdr>
    </w:div>
    <w:div w:id="13298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irminghamsettlemen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86599FBD2904D908D2A3801F9217B" ma:contentTypeVersion="9" ma:contentTypeDescription="Create a new document." ma:contentTypeScope="" ma:versionID="0549ae37a0cec477fb5983d4af50c707">
  <xsd:schema xmlns:xsd="http://www.w3.org/2001/XMLSchema" xmlns:xs="http://www.w3.org/2001/XMLSchema" xmlns:p="http://schemas.microsoft.com/office/2006/metadata/properties" xmlns:ns2="9390818d-d478-4c68-93c7-a0291128bd9f" targetNamespace="http://schemas.microsoft.com/office/2006/metadata/properties" ma:root="true" ma:fieldsID="ef1ed787a4903f45378cfcbc8d631b18" ns2:_="">
    <xsd:import namespace="9390818d-d478-4c68-93c7-a0291128bd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0818d-d478-4c68-93c7-a0291128b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ED2EB-FF1B-43C5-AEA5-95C78EEBE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D8C1B-992A-4211-AD58-6AE846141364}">
  <ds:schemaRefs>
    <ds:schemaRef ds:uri="http://schemas.microsoft.com/sharepoint/v3/contenttype/forms"/>
  </ds:schemaRefs>
</ds:datastoreItem>
</file>

<file path=customXml/itemProps3.xml><?xml version="1.0" encoding="utf-8"?>
<ds:datastoreItem xmlns:ds="http://schemas.openxmlformats.org/officeDocument/2006/customXml" ds:itemID="{6045DEEA-BFD0-425F-A67A-D9784B56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0818d-d478-4c68-93c7-a0291128b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McCabe</dc:creator>
  <cp:keywords/>
  <dc:description/>
  <cp:lastModifiedBy>Lauren McCabe</cp:lastModifiedBy>
  <cp:revision>44</cp:revision>
  <dcterms:created xsi:type="dcterms:W3CDTF">2021-03-24T14:07:00Z</dcterms:created>
  <dcterms:modified xsi:type="dcterms:W3CDTF">2021-03-24T15:03:00Z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0x01010047B86599FBD2904D908D2A3801F9217B</vt:lpwstr>
  </property>
</Properties>
</file>